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ECD" w:rsidRDefault="00771ECD" w:rsidP="00771EC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LAPORAN KINERJA TAHUN 2018</w:t>
      </w:r>
    </w:p>
    <w:p w:rsidR="00771ECD" w:rsidRPr="00CD59F1" w:rsidRDefault="00771ECD" w:rsidP="00771EC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PENGADMINISTRASI UMUM</w:t>
      </w:r>
    </w:p>
    <w:p w:rsidR="00771ECD" w:rsidRDefault="00771ECD" w:rsidP="00771ECD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BAGIAN TATA USAHA </w:t>
      </w:r>
    </w:p>
    <w:p w:rsidR="00771ECD" w:rsidRDefault="00771ECD" w:rsidP="00771ECD">
      <w:pPr>
        <w:spacing w:after="0" w:line="240" w:lineRule="auto"/>
        <w:jc w:val="center"/>
        <w:rPr>
          <w:b/>
          <w:lang w:val="en-US"/>
        </w:rPr>
      </w:pPr>
      <w:r>
        <w:rPr>
          <w:rFonts w:ascii="Arial" w:hAnsi="Arial" w:cs="Arial"/>
          <w:b/>
          <w:sz w:val="24"/>
          <w:lang w:val="en-US"/>
        </w:rPr>
        <w:t>SEKRETARIAT DAERAH KABUPATEN MALANG</w:t>
      </w:r>
    </w:p>
    <w:p w:rsidR="00771ECD" w:rsidRDefault="00771ECD" w:rsidP="00771ECD">
      <w:pPr>
        <w:spacing w:after="0" w:line="240" w:lineRule="auto"/>
        <w:jc w:val="center"/>
        <w:rPr>
          <w:b/>
          <w:lang w:val="en-US"/>
        </w:rPr>
      </w:pPr>
    </w:p>
    <w:p w:rsidR="00771ECD" w:rsidRDefault="00771ECD" w:rsidP="00771ECD">
      <w:pPr>
        <w:spacing w:after="0" w:line="240" w:lineRule="auto"/>
        <w:jc w:val="center"/>
        <w:rPr>
          <w:b/>
          <w:lang w:val="en-US"/>
        </w:rPr>
      </w:pPr>
    </w:p>
    <w:p w:rsidR="00771ECD" w:rsidRDefault="00771ECD" w:rsidP="00771ECD">
      <w:pPr>
        <w:spacing w:after="0" w:line="240" w:lineRule="auto"/>
        <w:jc w:val="center"/>
        <w:rPr>
          <w:b/>
        </w:rPr>
      </w:pP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Pelaporan Kinerja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 </w:t>
      </w:r>
      <w:r>
        <w:rPr>
          <w:rFonts w:ascii="Arial" w:hAnsi="Arial" w:cs="Arial"/>
          <w:sz w:val="24"/>
          <w:szCs w:val="24"/>
        </w:rPr>
        <w:t>kepada pengadministrasi umum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Malang, </w:t>
      </w:r>
      <w:r>
        <w:rPr>
          <w:rFonts w:ascii="Arial" w:hAnsi="Arial" w:cs="Arial"/>
          <w:sz w:val="24"/>
          <w:szCs w:val="24"/>
        </w:rPr>
        <w:t>sebagaimana tertuang dalam Dokumen Perjanjian Kinerja yang telah dibuat, disepakati dan ditanda tangani.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dalam mengukur target kinerja.</w:t>
      </w: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Tujuan Penyusunan Laporan Kinerja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Tujuan Penyusunan Laporan Kinerja sebagai berikut :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teknis pengadministrasi umum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tertib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masuk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Laporan Kinerja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Tahun 2018 dibuat untuk pertanggung jawaban evaluasi dan realisasi kinerja sebagai tugas pengadministrasi umum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 </w:t>
      </w:r>
      <w:r>
        <w:rPr>
          <w:rFonts w:ascii="Arial" w:hAnsi="Arial" w:cs="Arial"/>
          <w:sz w:val="24"/>
          <w:szCs w:val="24"/>
        </w:rPr>
        <w:t xml:space="preserve">dalam menyiapkan laporan </w:t>
      </w:r>
      <w:r w:rsidRPr="00CD59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pengadministrasi umum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</w:t>
      </w:r>
      <w:r>
        <w:rPr>
          <w:rFonts w:ascii="Arial" w:hAnsi="Arial" w:cs="Arial"/>
          <w:sz w:val="24"/>
          <w:szCs w:val="24"/>
        </w:rPr>
        <w:t>. Laporan kinerja disusun oleh setiap tingkatan organisasi dan setiap tingkatan jabatan yang telah menandatangani perjanjian kinerja.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disajikan dengan memuat informasi tentang :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Uraian Tugas Pokok dan Fungsi pengadministrasi umum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r>
        <w:rPr>
          <w:rFonts w:ascii="Arial" w:hAnsi="Arial" w:cs="Arial"/>
          <w:sz w:val="24"/>
          <w:szCs w:val="24"/>
        </w:rPr>
        <w:t xml:space="preserve">Kabupaten Malang mempunyai tugas : 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Membuat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rencana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perjalanan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pengiriman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undangan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prosedur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berlaku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Menyerahkan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kembali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</w:t>
      </w:r>
      <w:proofErr w:type="spellEnd"/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  <w:lang w:val="en-US"/>
        </w:rPr>
        <w:t xml:space="preserve">u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tanda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penerimmaan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ekspeditur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menghimpun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merekap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mengarsip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tanda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terima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hasil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prosedur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berlaku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evaluasi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pertanggungjawaban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Menghitung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menyesuaikan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alamat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kerja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tercantum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dikirim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alamat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dituju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Menerima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turun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undangan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siap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didistribusikan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agar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diproses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lebih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lanjut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lastRenderedPageBreak/>
        <w:t>Menyortir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jenis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ketentuanyang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dikirim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wilayah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mempermudah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pengiriman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pihak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Mendistribusikan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undangan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alamat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dituju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prosedur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meminta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tanda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bukti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penerimaan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kedinasan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diperintahkan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tertulis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lisan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Perencanaan / Perjanjian Kinerja Tahun 2018</w:t>
      </w:r>
    </w:p>
    <w:p w:rsidR="00771ECD" w:rsidRDefault="00771ECD" w:rsidP="00771ECD">
      <w:pPr>
        <w:pStyle w:val="ListParagraph1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771ECD" w:rsidTr="00546CC0">
        <w:trPr>
          <w:tblHeader/>
        </w:trPr>
        <w:tc>
          <w:tcPr>
            <w:tcW w:w="693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771ECD" w:rsidTr="00546CC0">
        <w:tc>
          <w:tcPr>
            <w:tcW w:w="693" w:type="dxa"/>
            <w:vMerge w:val="restart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48" w:type="dxa"/>
            <w:vMerge w:val="restart"/>
          </w:tcPr>
          <w:p w:rsidR="00771ECD" w:rsidRDefault="00771ECD" w:rsidP="00546C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Peningkatan tertib administrasi pendistribusian surat / undangan </w:t>
            </w:r>
          </w:p>
        </w:tc>
        <w:tc>
          <w:tcPr>
            <w:tcW w:w="3402" w:type="dxa"/>
          </w:tcPr>
          <w:p w:rsidR="00771ECD" w:rsidRDefault="00771ECD" w:rsidP="00546CC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surat turun yang didistribusikan tepat waktu</w:t>
            </w:r>
          </w:p>
        </w:tc>
        <w:tc>
          <w:tcPr>
            <w:tcW w:w="1861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5.879 surat</w:t>
            </w:r>
          </w:p>
        </w:tc>
      </w:tr>
      <w:tr w:rsidR="00771ECD" w:rsidTr="00546CC0">
        <w:tc>
          <w:tcPr>
            <w:tcW w:w="693" w:type="dxa"/>
            <w:vMerge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771ECD" w:rsidRDefault="00771ECD" w:rsidP="00546CC0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ECD" w:rsidRDefault="00771ECD" w:rsidP="00546CC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undangan yang didistribusikan tepat waktu</w:t>
            </w:r>
          </w:p>
        </w:tc>
        <w:tc>
          <w:tcPr>
            <w:tcW w:w="1861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7.515 undangan</w:t>
            </w:r>
          </w:p>
        </w:tc>
      </w:tr>
    </w:tbl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Evaluasi dan Analisa Kinerja Program / Kegiatan</w:t>
      </w:r>
    </w:p>
    <w:p w:rsidR="00771ECD" w:rsidRDefault="00771ECD" w:rsidP="00771ECD">
      <w:pPr>
        <w:pStyle w:val="ListParagraph1"/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771ECD" w:rsidRDefault="00771ECD" w:rsidP="00771ECD">
      <w:pPr>
        <w:pStyle w:val="ListParagraph1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771ECD" w:rsidTr="00546CC0">
        <w:tc>
          <w:tcPr>
            <w:tcW w:w="599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771ECD" w:rsidRDefault="00771ECD" w:rsidP="00546CC0">
            <w:pPr>
              <w:pStyle w:val="ListParagraph1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771ECD" w:rsidTr="00546CC0">
        <w:tc>
          <w:tcPr>
            <w:tcW w:w="599" w:type="dxa"/>
            <w:vMerge w:val="restart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37" w:type="dxa"/>
            <w:vMerge w:val="restart"/>
          </w:tcPr>
          <w:p w:rsidR="00771ECD" w:rsidRDefault="00771ECD" w:rsidP="00546CC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Peningkatan tertib administrasi pendistribusian surat / undangan </w:t>
            </w:r>
          </w:p>
        </w:tc>
        <w:tc>
          <w:tcPr>
            <w:tcW w:w="2551" w:type="dxa"/>
          </w:tcPr>
          <w:p w:rsidR="00771ECD" w:rsidRDefault="00771ECD" w:rsidP="00546CC0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Jumlah surat turun yang didistribusikan tepat waktu</w:t>
            </w:r>
          </w:p>
        </w:tc>
        <w:tc>
          <w:tcPr>
            <w:tcW w:w="1272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5.879 surat</w:t>
            </w:r>
          </w:p>
        </w:tc>
        <w:tc>
          <w:tcPr>
            <w:tcW w:w="1272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879 surat</w:t>
            </w:r>
          </w:p>
        </w:tc>
        <w:tc>
          <w:tcPr>
            <w:tcW w:w="1273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771ECD" w:rsidTr="00546CC0">
        <w:tc>
          <w:tcPr>
            <w:tcW w:w="599" w:type="dxa"/>
            <w:vMerge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771ECD" w:rsidRDefault="00771ECD" w:rsidP="00546CC0">
            <w:pPr>
              <w:contextualSpacing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1ECD" w:rsidRDefault="00771ECD" w:rsidP="00546CC0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Jumlah undangan yang didistribusikan tepat waktu</w:t>
            </w:r>
          </w:p>
        </w:tc>
        <w:tc>
          <w:tcPr>
            <w:tcW w:w="1272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7.515 </w:t>
            </w:r>
            <w:r w:rsidRPr="00EE64FA">
              <w:rPr>
                <w:rFonts w:ascii="Arial" w:hAnsi="Arial" w:cs="Arial"/>
                <w:color w:val="000000" w:themeColor="text1"/>
                <w:szCs w:val="24"/>
              </w:rPr>
              <w:t>undangan</w:t>
            </w:r>
          </w:p>
        </w:tc>
        <w:tc>
          <w:tcPr>
            <w:tcW w:w="1272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7.515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unda</w:t>
            </w:r>
            <w:r w:rsidRPr="00EE64FA">
              <w:rPr>
                <w:rFonts w:ascii="Arial" w:hAnsi="Arial" w:cs="Arial"/>
                <w:color w:val="000000" w:themeColor="text1"/>
                <w:szCs w:val="24"/>
              </w:rPr>
              <w:t>ngan</w:t>
            </w:r>
          </w:p>
        </w:tc>
        <w:tc>
          <w:tcPr>
            <w:tcW w:w="1273" w:type="dxa"/>
          </w:tcPr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:rsidR="00771ECD" w:rsidRDefault="00771ECD" w:rsidP="00546CC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100%</w:t>
            </w:r>
          </w:p>
        </w:tc>
      </w:tr>
    </w:tbl>
    <w:p w:rsidR="00771ECD" w:rsidRDefault="00771ECD" w:rsidP="00771ECD">
      <w:pPr>
        <w:pStyle w:val="ListParagraph1"/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Pada indikator sasaran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: </w:t>
      </w:r>
      <w:r>
        <w:rPr>
          <w:rFonts w:ascii="Arial" w:hAnsi="Arial" w:cs="Arial"/>
          <w:color w:val="000000" w:themeColor="text1"/>
          <w:sz w:val="24"/>
          <w:szCs w:val="24"/>
        </w:rPr>
        <w:t>Peningkatan tertib administrasi pendistribusian surat / undangan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sebagai berikut :</w:t>
      </w:r>
    </w:p>
    <w:p w:rsidR="00771ECD" w:rsidRDefault="00771ECD" w:rsidP="00771ECD">
      <w:pPr>
        <w:pStyle w:val="ListParagraph1"/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Jumlah surat turun yang didistribusikan tepat waktu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sebanyak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2</w:t>
      </w:r>
      <w:r>
        <w:rPr>
          <w:rFonts w:ascii="Arial" w:hAnsi="Arial" w:cs="Arial"/>
          <w:color w:val="000000" w:themeColor="text1"/>
          <w:sz w:val="24"/>
          <w:szCs w:val="24"/>
        </w:rPr>
        <w:t>.215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Jumlah undangan yang didistribusikan tepat waktu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sebanyak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00 </w:t>
      </w:r>
      <w:r>
        <w:rPr>
          <w:rFonts w:ascii="Arial" w:hAnsi="Arial" w:cs="Arial"/>
          <w:color w:val="000000" w:themeColor="text1"/>
          <w:sz w:val="24"/>
          <w:szCs w:val="24"/>
        </w:rPr>
        <w:t>undangan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Keberhasilan kegiatan tersebut diatas disebabkan karena :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Melaksanakan kebijakan teknis kegiatan Peningkatan tertib administrasi pendistribusian surat / undangan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Rencana Tindak Lanjut</w:t>
      </w:r>
    </w:p>
    <w:p w:rsidR="00771ECD" w:rsidRDefault="00771ECD" w:rsidP="00771ECD">
      <w:pPr>
        <w:pStyle w:val="ListParagraph1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Sebagai rencana tindak lanjut, guna meminimalisir kegagalan dan sebagai langkah peningkatan capaian kinerja pada tahun yang akan datang, adalah :</w:t>
      </w:r>
    </w:p>
    <w:p w:rsidR="00771ECD" w:rsidRDefault="00771ECD" w:rsidP="00771ECD">
      <w:pPr>
        <w:pStyle w:val="ListParagraph1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Melaporkan kepa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a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>
        <w:rPr>
          <w:rFonts w:ascii="Arial" w:hAnsi="Arial" w:cs="Arial"/>
          <w:sz w:val="24"/>
          <w:szCs w:val="24"/>
        </w:rPr>
        <w:t xml:space="preserve"> terkait temuan dan perubahan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771ECD" w:rsidRDefault="00771ECD" w:rsidP="00771ECD">
      <w:pPr>
        <w:pStyle w:val="ListParagraph1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Ekspedisi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Telekomunikasi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:rsidR="00771ECD" w:rsidRDefault="00771ECD" w:rsidP="00771ECD">
      <w:pPr>
        <w:pStyle w:val="ListParagraph1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 lintas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71ECD" w:rsidRDefault="00771ECD" w:rsidP="00771ECD">
      <w:pPr>
        <w:pStyle w:val="ListParagraph1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Tanggapan Atasan Langsung</w:t>
      </w:r>
    </w:p>
    <w:p w:rsidR="00771ECD" w:rsidRDefault="00771ECD" w:rsidP="00771ECD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1ECD" w:rsidRDefault="00771ECD" w:rsidP="00771ECD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771ECD" w:rsidRDefault="00771ECD" w:rsidP="00771ECD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771ECD" w:rsidRDefault="00771ECD" w:rsidP="00771ECD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771ECD" w:rsidRDefault="00771ECD" w:rsidP="00771ECD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771ECD" w:rsidRDefault="00771ECD" w:rsidP="00771ECD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Demikian Laporan Kinerja ini dibuat diharapkan dapat menjadi gambaran capaian kinerja pengadministrasi umum bahan evaluasi peningkatan kinerja di tahun mendatang, terima kasih.</w:t>
      </w:r>
    </w:p>
    <w:p w:rsidR="00771ECD" w:rsidRDefault="00771ECD" w:rsidP="00771ECD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771ECD" w:rsidTr="00546CC0">
        <w:trPr>
          <w:trHeight w:val="2589"/>
        </w:trPr>
        <w:tc>
          <w:tcPr>
            <w:tcW w:w="4644" w:type="dxa"/>
          </w:tcPr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KASUBAG AGENDA DAN EKSPEDISI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YULI SUWITANINGSIH, S.Sos, M.M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Penata Tingkat I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hAnsi="Arial" w:cs="Arial"/>
              </w:rPr>
              <w:t>19640709 198803 2 007</w:t>
            </w:r>
          </w:p>
        </w:tc>
        <w:tc>
          <w:tcPr>
            <w:tcW w:w="284" w:type="dxa"/>
          </w:tcPr>
          <w:p w:rsidR="00771ECD" w:rsidRDefault="00771ECD" w:rsidP="00546C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Malang,      Januari 201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PENGADMINISTRASI UMUM 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NURUL HUDA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Penata Muda</w:t>
            </w:r>
          </w:p>
          <w:p w:rsidR="00771ECD" w:rsidRDefault="00771ECD" w:rsidP="00546C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NIP . 19710102 200801 1 016</w:t>
            </w:r>
          </w:p>
        </w:tc>
      </w:tr>
    </w:tbl>
    <w:p w:rsidR="00771ECD" w:rsidRDefault="00771ECD" w:rsidP="00771ECD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p w:rsidR="00A8171E" w:rsidRDefault="00A8171E">
      <w:bookmarkStart w:id="0" w:name="_GoBack"/>
      <w:bookmarkEnd w:id="0"/>
    </w:p>
    <w:sectPr w:rsidR="00A817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CD"/>
    <w:rsid w:val="00771ECD"/>
    <w:rsid w:val="00A8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D800F-ACF0-4E28-ABE8-70607A25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71EC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771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2019-08-15T02:56:00Z</dcterms:created>
  <dcterms:modified xsi:type="dcterms:W3CDTF">2019-08-15T02:56:00Z</dcterms:modified>
</cp:coreProperties>
</file>