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28" w:rsidRPr="000A1999" w:rsidRDefault="009D1E36" w:rsidP="005A762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</w:t>
      </w:r>
      <w:r w:rsidR="000A1999">
        <w:rPr>
          <w:rFonts w:ascii="Arial" w:eastAsia="Calibri" w:hAnsi="Arial" w:cs="Arial"/>
          <w:b/>
          <w:sz w:val="24"/>
        </w:rPr>
        <w:t>20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PENELAAH KEBIJAKAN PENGADAAN BARANG JASA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="005639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39A9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5639A9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="008D0084">
        <w:rPr>
          <w:rFonts w:ascii="Arial" w:eastAsia="Calibri" w:hAnsi="Arial" w:cs="Arial"/>
          <w:sz w:val="24"/>
          <w:szCs w:val="24"/>
          <w:lang w:val="id-ID"/>
        </w:rPr>
        <w:t>,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pengadan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jasa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>.</w:t>
      </w: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0A1999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5A7628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Menerima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memeriksa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kebijakan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sesuai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prosedur</w:t>
      </w:r>
      <w:proofErr w:type="spellEnd"/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Mempelajari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me</w:t>
      </w:r>
      <w:r w:rsidR="00020D96">
        <w:rPr>
          <w:rFonts w:ascii="Arial" w:eastAsia="Calibri" w:hAnsi="Arial" w:cs="Arial"/>
          <w:sz w:val="24"/>
          <w:szCs w:val="24"/>
        </w:rPr>
        <w:t>n</w:t>
      </w:r>
      <w:r w:rsidRPr="005A7628">
        <w:rPr>
          <w:rFonts w:ascii="Arial" w:eastAsia="Calibri" w:hAnsi="Arial" w:cs="Arial"/>
          <w:sz w:val="24"/>
          <w:szCs w:val="24"/>
        </w:rPr>
        <w:t>gkaji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kebijakan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pengadaan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barang</w:t>
      </w:r>
      <w:proofErr w:type="spellEnd"/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Menginventarisasi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peraturan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perundangan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ketentuan-ketentuan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terkait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pengadaan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>/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jasa</w:t>
      </w:r>
      <w:proofErr w:type="spellEnd"/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Mengecek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kebenaran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keabsahan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terhadapperencanaan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pengadaanbarang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>/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jasa</w:t>
      </w:r>
      <w:proofErr w:type="spellEnd"/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Mengetik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konsep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rekomendasi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atas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hasil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telaahanterhadap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pengadaan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>/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jasa</w:t>
      </w:r>
      <w:proofErr w:type="spellEnd"/>
    </w:p>
    <w:p w:rsid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Melaporkan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kepada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atasan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sesuai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prosedur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ketentuan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bahan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evaluasi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pertanggungjawaban</w:t>
      </w:r>
      <w:proofErr w:type="spellEnd"/>
    </w:p>
    <w:p w:rsidR="005A7628" w:rsidRPr="005A7628" w:rsidRDefault="005A7628" w:rsidP="005A7628">
      <w:pPr>
        <w:pStyle w:val="ListParagraph"/>
        <w:tabs>
          <w:tab w:val="left" w:pos="-142"/>
        </w:tabs>
        <w:spacing w:before="120" w:after="0" w:line="240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0A1999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5A7628" w:rsidRPr="005961CF" w:rsidRDefault="005A7628" w:rsidP="005A762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806"/>
        <w:gridCol w:w="3544"/>
        <w:gridCol w:w="1861"/>
      </w:tblGrid>
      <w:tr w:rsidR="005A7628" w:rsidRPr="005961CF" w:rsidTr="005639A9">
        <w:trPr>
          <w:tblHeader/>
        </w:trPr>
        <w:tc>
          <w:tcPr>
            <w:tcW w:w="693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806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544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5A7628" w:rsidRPr="005961CF" w:rsidTr="005639A9">
        <w:tc>
          <w:tcPr>
            <w:tcW w:w="693" w:type="dxa"/>
          </w:tcPr>
          <w:p w:rsidR="005A7628" w:rsidRPr="005961CF" w:rsidRDefault="005A7628" w:rsidP="006903A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5A7628" w:rsidRPr="005961CF" w:rsidRDefault="005A7628" w:rsidP="006903A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6" w:type="dxa"/>
          </w:tcPr>
          <w:p w:rsidR="005A7628" w:rsidRPr="005961CF" w:rsidRDefault="005639A9" w:rsidP="005639A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39A9">
              <w:rPr>
                <w:rFonts w:ascii="Arial" w:eastAsia="Calibri" w:hAnsi="Arial" w:cs="Arial"/>
                <w:sz w:val="24"/>
                <w:szCs w:val="24"/>
              </w:rPr>
              <w:t>Pelaksanaan kebijakan pengadaan yang sesuai prosedur</w:t>
            </w:r>
          </w:p>
        </w:tc>
        <w:tc>
          <w:tcPr>
            <w:tcW w:w="3544" w:type="dxa"/>
          </w:tcPr>
          <w:p w:rsidR="005639A9" w:rsidRPr="005639A9" w:rsidRDefault="005639A9" w:rsidP="005639A9">
            <w:pPr>
              <w:pStyle w:val="ListParagraph"/>
              <w:numPr>
                <w:ilvl w:val="0"/>
                <w:numId w:val="7"/>
              </w:numPr>
              <w:spacing w:line="240" w:lineRule="exact"/>
              <w:ind w:left="317" w:hanging="425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konsep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hasil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penelaahan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pengadaan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barang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prosedur</w:t>
            </w:r>
            <w:proofErr w:type="spellEnd"/>
          </w:p>
          <w:p w:rsidR="005639A9" w:rsidRPr="005639A9" w:rsidRDefault="005639A9" w:rsidP="005639A9">
            <w:pPr>
              <w:spacing w:after="200" w:line="240" w:lineRule="exact"/>
              <w:ind w:left="317" w:hanging="425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  <w:p w:rsidR="005A7628" w:rsidRPr="005639A9" w:rsidRDefault="005639A9" w:rsidP="005639A9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lastRenderedPageBreak/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konsep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dokumen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pengadaan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disposisi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1861" w:type="dxa"/>
          </w:tcPr>
          <w:p w:rsidR="005A7628" w:rsidRDefault="008C27BA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lastRenderedPageBreak/>
              <w:t>12</w:t>
            </w:r>
            <w:r w:rsidR="005A7628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7628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5639A9" w:rsidRDefault="005639A9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5639A9" w:rsidRDefault="005639A9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5639A9" w:rsidRPr="005961CF" w:rsidRDefault="005639A9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lastRenderedPageBreak/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5A7628" w:rsidRPr="005961CF" w:rsidRDefault="005A7628" w:rsidP="005A762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5A7628" w:rsidRPr="005961CF" w:rsidRDefault="005A7628" w:rsidP="005A762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917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08"/>
        <w:gridCol w:w="2835"/>
        <w:gridCol w:w="1276"/>
        <w:gridCol w:w="1276"/>
        <w:gridCol w:w="1276"/>
      </w:tblGrid>
      <w:tr w:rsidR="0055287D" w:rsidRPr="005961CF" w:rsidTr="0055287D">
        <w:tc>
          <w:tcPr>
            <w:tcW w:w="599" w:type="dxa"/>
          </w:tcPr>
          <w:p w:rsidR="0055287D" w:rsidRPr="005961CF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08" w:type="dxa"/>
          </w:tcPr>
          <w:p w:rsidR="0055287D" w:rsidRPr="005961CF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835" w:type="dxa"/>
          </w:tcPr>
          <w:p w:rsidR="0055287D" w:rsidRPr="005961CF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6" w:type="dxa"/>
          </w:tcPr>
          <w:p w:rsidR="0055287D" w:rsidRPr="005961CF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55287D" w:rsidRPr="0055287D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55287D" w:rsidRPr="0055287D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55287D" w:rsidRPr="005961CF" w:rsidTr="0055287D">
        <w:tc>
          <w:tcPr>
            <w:tcW w:w="599" w:type="dxa"/>
          </w:tcPr>
          <w:p w:rsidR="0055287D" w:rsidRPr="005961CF" w:rsidRDefault="0055287D" w:rsidP="006903A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55287D" w:rsidRPr="005961CF" w:rsidRDefault="0055287D" w:rsidP="006903A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</w:tcPr>
          <w:p w:rsidR="0055287D" w:rsidRPr="005961CF" w:rsidRDefault="0055287D" w:rsidP="006903A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39A9">
              <w:rPr>
                <w:rFonts w:ascii="Arial" w:eastAsia="Calibri" w:hAnsi="Arial" w:cs="Arial"/>
                <w:sz w:val="24"/>
                <w:szCs w:val="24"/>
              </w:rPr>
              <w:t>Pelaksanaan kebijakan pengadaan yang sesuai prosedur</w:t>
            </w:r>
          </w:p>
        </w:tc>
        <w:tc>
          <w:tcPr>
            <w:tcW w:w="2835" w:type="dxa"/>
          </w:tcPr>
          <w:p w:rsidR="0055287D" w:rsidRPr="005639A9" w:rsidRDefault="0055287D" w:rsidP="005639A9">
            <w:pPr>
              <w:pStyle w:val="ListParagraph"/>
              <w:numPr>
                <w:ilvl w:val="0"/>
                <w:numId w:val="7"/>
              </w:numPr>
              <w:spacing w:line="240" w:lineRule="exact"/>
              <w:ind w:left="176" w:hanging="176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konsep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hasil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penelaahan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pengadaan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barang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prosedur</w:t>
            </w:r>
            <w:proofErr w:type="spellEnd"/>
          </w:p>
          <w:p w:rsidR="0055287D" w:rsidRPr="005639A9" w:rsidRDefault="0055287D" w:rsidP="005639A9">
            <w:pPr>
              <w:spacing w:after="200" w:line="240" w:lineRule="exact"/>
              <w:ind w:left="176" w:hanging="17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  <w:p w:rsidR="0055287D" w:rsidRPr="005639A9" w:rsidRDefault="0055287D" w:rsidP="005639A9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konsep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dokumen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pengadaan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disposisi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1276" w:type="dxa"/>
          </w:tcPr>
          <w:p w:rsidR="0055287D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12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Pr="005961CF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55287D" w:rsidRDefault="0055287D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12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Pr="0055287D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55287D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P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5A7628" w:rsidRPr="005639A9" w:rsidRDefault="005A7628" w:rsidP="005A762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Pelaksanaan</w:t>
      </w:r>
      <w:proofErr w:type="spellEnd"/>
      <w:r w:rsidR="005639A9" w:rsidRPr="005639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kebijakan</w:t>
      </w:r>
      <w:proofErr w:type="spellEnd"/>
      <w:r w:rsidR="005639A9" w:rsidRPr="005639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pengadaan</w:t>
      </w:r>
      <w:proofErr w:type="spellEnd"/>
      <w:r w:rsidR="005639A9" w:rsidRPr="005639A9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sesuai</w:t>
      </w:r>
      <w:proofErr w:type="spellEnd"/>
      <w:r w:rsidR="005639A9" w:rsidRPr="005639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prosedur</w:t>
      </w:r>
      <w:proofErr w:type="spellEnd"/>
      <w:r w:rsidRPr="005961CF">
        <w:rPr>
          <w:rFonts w:ascii="Arial" w:eastAsia="Calibri" w:hAnsi="Arial" w:cs="Arial"/>
          <w:color w:val="000000"/>
          <w:sz w:val="24"/>
          <w:szCs w:val="24"/>
        </w:rPr>
        <w:t>,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5639A9" w:rsidRPr="005639A9" w:rsidRDefault="005639A9" w:rsidP="005639A9">
      <w:pPr>
        <w:pStyle w:val="ListParagraph"/>
        <w:numPr>
          <w:ilvl w:val="0"/>
          <w:numId w:val="8"/>
        </w:numPr>
        <w:tabs>
          <w:tab w:val="left" w:pos="-426"/>
        </w:tabs>
        <w:spacing w:after="0" w:line="240" w:lineRule="auto"/>
        <w:ind w:left="1134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konsep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hasil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penelaahan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pengadaan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barang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sesuai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prosedur</w:t>
      </w:r>
      <w:proofErr w:type="spellEnd"/>
    </w:p>
    <w:p w:rsidR="005639A9" w:rsidRPr="00020D96" w:rsidRDefault="005639A9" w:rsidP="00020D96">
      <w:pPr>
        <w:pStyle w:val="ListParagraph"/>
        <w:numPr>
          <w:ilvl w:val="0"/>
          <w:numId w:val="8"/>
        </w:numPr>
        <w:tabs>
          <w:tab w:val="left" w:pos="-426"/>
        </w:tabs>
        <w:spacing w:after="0" w:line="240" w:lineRule="auto"/>
        <w:ind w:left="1134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konsep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dokumen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pengadaan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sesuai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disposisi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  <w:r w:rsidRPr="00020D96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5639A9" w:rsidRDefault="005A7628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="005639A9" w:rsidRPr="005639A9">
        <w:rPr>
          <w:rFonts w:ascii="Arial" w:eastAsia="Calibri" w:hAnsi="Arial" w:cs="Arial"/>
          <w:sz w:val="24"/>
          <w:szCs w:val="24"/>
          <w:lang w:val="id-ID"/>
        </w:rPr>
        <w:t xml:space="preserve">pengadaan yang sesuai prosedur </w:t>
      </w:r>
    </w:p>
    <w:p w:rsidR="00020D96" w:rsidRDefault="00020D96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A7628" w:rsidRPr="005961CF" w:rsidRDefault="005A7628" w:rsidP="005A762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5A7628" w:rsidRPr="005961CF" w:rsidRDefault="005A7628" w:rsidP="005A762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5A7628" w:rsidRPr="005961CF" w:rsidRDefault="005A7628" w:rsidP="005A762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5A7628" w:rsidRPr="005961CF" w:rsidRDefault="005A7628" w:rsidP="005A7628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A7628" w:rsidRPr="005961CF" w:rsidRDefault="005A7628" w:rsidP="005A762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5A7628" w:rsidRPr="005961CF" w:rsidRDefault="005A7628" w:rsidP="005A762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A7628" w:rsidRPr="005961CF" w:rsidRDefault="005A7628" w:rsidP="005A762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A7628" w:rsidRPr="005961CF" w:rsidRDefault="005A7628" w:rsidP="005A762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745F23" w:rsidRDefault="00745F23" w:rsidP="005A762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5A7628" w:rsidRPr="005961CF" w:rsidRDefault="005A7628" w:rsidP="005A762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lastRenderedPageBreak/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p w:rsidR="005A7628" w:rsidRPr="005961CF" w:rsidRDefault="005A7628" w:rsidP="005A762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361"/>
        <w:gridCol w:w="283"/>
        <w:gridCol w:w="4678"/>
      </w:tblGrid>
      <w:tr w:rsidR="005A7628" w:rsidRPr="005961CF" w:rsidTr="00020D96">
        <w:trPr>
          <w:trHeight w:val="2589"/>
        </w:trPr>
        <w:tc>
          <w:tcPr>
            <w:tcW w:w="4361" w:type="dxa"/>
          </w:tcPr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9D1E36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20D96" w:rsidRDefault="00020D9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cr/>
            </w: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Pembina</w:t>
            </w:r>
          </w:p>
          <w:p w:rsidR="005A7628" w:rsidRPr="005961CF" w:rsidRDefault="009D1E36" w:rsidP="009D1E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3" w:type="dxa"/>
          </w:tcPr>
          <w:p w:rsidR="005A7628" w:rsidRPr="005961CF" w:rsidRDefault="005A7628" w:rsidP="006903A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678" w:type="dxa"/>
          </w:tcPr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55287D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</w:t>
            </w:r>
            <w:r w:rsidR="000A1999"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 w:rsidR="000A1999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D806E1"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PENELAAH KEBIJAKAN PENGADAAN BARANG JASA</w:t>
            </w:r>
            <w:r w:rsidRPr="005961CF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A7628" w:rsidRDefault="005A7628" w:rsidP="00020D9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20D96" w:rsidRPr="005961CF" w:rsidRDefault="00020D96" w:rsidP="00020D9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5A7628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20D96" w:rsidRPr="005961CF" w:rsidRDefault="00020D96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A7628" w:rsidRDefault="0055287D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M. ALIFI NUR BUANA .R</w:t>
            </w:r>
          </w:p>
          <w:p w:rsidR="000F6E24" w:rsidRPr="000F6E24" w:rsidRDefault="000F6E24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0F6E24">
              <w:rPr>
                <w:rFonts w:ascii="Arial" w:eastAsia="Calibri" w:hAnsi="Arial" w:cs="Arial"/>
                <w:b/>
                <w:sz w:val="24"/>
                <w:szCs w:val="24"/>
              </w:rPr>
              <w:t>Penata</w:t>
            </w:r>
            <w:proofErr w:type="spellEnd"/>
            <w:r w:rsidRPr="000F6E24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F6E24">
              <w:rPr>
                <w:rFonts w:ascii="Arial" w:eastAsia="Calibri" w:hAnsi="Arial" w:cs="Arial"/>
                <w:b/>
                <w:sz w:val="24"/>
                <w:szCs w:val="24"/>
              </w:rPr>
              <w:t>Muda</w:t>
            </w:r>
            <w:proofErr w:type="spellEnd"/>
          </w:p>
          <w:p w:rsidR="000F6E24" w:rsidRPr="000F6E24" w:rsidRDefault="000F6E24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F6E24">
              <w:rPr>
                <w:rFonts w:ascii="Arial" w:eastAsia="Calibri" w:hAnsi="Arial" w:cs="Arial"/>
                <w:b/>
                <w:sz w:val="24"/>
                <w:szCs w:val="24"/>
              </w:rPr>
              <w:t>NIP. 19890429 201001 1 003</w:t>
            </w: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5A7628" w:rsidRPr="005961CF" w:rsidRDefault="005A7628" w:rsidP="005A762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5A7628" w:rsidRPr="005961CF" w:rsidRDefault="005A7628" w:rsidP="005A7628">
      <w:pPr>
        <w:spacing w:after="160" w:line="259" w:lineRule="auto"/>
        <w:rPr>
          <w:rFonts w:ascii="Calibri" w:eastAsia="Calibri" w:hAnsi="Calibri" w:cs="Times New Roman"/>
          <w:lang w:val="id-ID"/>
        </w:rPr>
      </w:pPr>
    </w:p>
    <w:p w:rsidR="005A7628" w:rsidRDefault="005A7628" w:rsidP="005A7628"/>
    <w:p w:rsidR="008F19CC" w:rsidRDefault="008F19CC"/>
    <w:sectPr w:rsidR="008F19CC" w:rsidSect="00745F23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AF9"/>
    <w:multiLevelType w:val="hybridMultilevel"/>
    <w:tmpl w:val="ACEE96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011" w:hanging="360"/>
      </w:pPr>
    </w:lvl>
    <w:lvl w:ilvl="2">
      <w:start w:val="1"/>
      <w:numFmt w:val="lowerRoman"/>
      <w:lvlText w:val="%3."/>
      <w:lvlJc w:val="right"/>
      <w:pPr>
        <w:ind w:left="10731" w:hanging="180"/>
      </w:pPr>
    </w:lvl>
    <w:lvl w:ilvl="3">
      <w:start w:val="1"/>
      <w:numFmt w:val="decimal"/>
      <w:lvlText w:val="%4."/>
      <w:lvlJc w:val="left"/>
      <w:pPr>
        <w:ind w:left="11451" w:hanging="360"/>
      </w:pPr>
    </w:lvl>
    <w:lvl w:ilvl="4">
      <w:start w:val="1"/>
      <w:numFmt w:val="lowerLetter"/>
      <w:lvlText w:val="%5."/>
      <w:lvlJc w:val="left"/>
      <w:pPr>
        <w:ind w:left="12171" w:hanging="360"/>
      </w:pPr>
    </w:lvl>
    <w:lvl w:ilvl="5">
      <w:start w:val="1"/>
      <w:numFmt w:val="lowerRoman"/>
      <w:lvlText w:val="%6."/>
      <w:lvlJc w:val="right"/>
      <w:pPr>
        <w:ind w:left="12891" w:hanging="180"/>
      </w:pPr>
    </w:lvl>
    <w:lvl w:ilvl="6">
      <w:start w:val="1"/>
      <w:numFmt w:val="decimal"/>
      <w:lvlText w:val="%7."/>
      <w:lvlJc w:val="left"/>
      <w:pPr>
        <w:ind w:left="13611" w:hanging="360"/>
      </w:pPr>
    </w:lvl>
    <w:lvl w:ilvl="7">
      <w:start w:val="1"/>
      <w:numFmt w:val="lowerLetter"/>
      <w:lvlText w:val="%8."/>
      <w:lvlJc w:val="left"/>
      <w:pPr>
        <w:ind w:left="14331" w:hanging="360"/>
      </w:pPr>
    </w:lvl>
    <w:lvl w:ilvl="8">
      <w:start w:val="1"/>
      <w:numFmt w:val="lowerRoman"/>
      <w:lvlText w:val="%9."/>
      <w:lvlJc w:val="right"/>
      <w:pPr>
        <w:ind w:left="15051" w:hanging="180"/>
      </w:pPr>
    </w:lvl>
  </w:abstractNum>
  <w:abstractNum w:abstractNumId="2">
    <w:nsid w:val="25F26369"/>
    <w:multiLevelType w:val="hybridMultilevel"/>
    <w:tmpl w:val="E47E544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B43AC"/>
    <w:multiLevelType w:val="hybridMultilevel"/>
    <w:tmpl w:val="A562531A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C7025"/>
    <w:multiLevelType w:val="hybridMultilevel"/>
    <w:tmpl w:val="11A2DF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21"/>
    <w:rsid w:val="00020D96"/>
    <w:rsid w:val="000A1999"/>
    <w:rsid w:val="000F6E24"/>
    <w:rsid w:val="0055287D"/>
    <w:rsid w:val="005639A9"/>
    <w:rsid w:val="005A7628"/>
    <w:rsid w:val="006422F4"/>
    <w:rsid w:val="00745F23"/>
    <w:rsid w:val="008C27BA"/>
    <w:rsid w:val="008D0084"/>
    <w:rsid w:val="008F19CC"/>
    <w:rsid w:val="009D1E36"/>
    <w:rsid w:val="00C1142A"/>
    <w:rsid w:val="00D806E1"/>
    <w:rsid w:val="00F6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A762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A762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2020-01-09T05:03:00Z</cp:lastPrinted>
  <dcterms:created xsi:type="dcterms:W3CDTF">2020-12-29T02:48:00Z</dcterms:created>
  <dcterms:modified xsi:type="dcterms:W3CDTF">2020-12-29T02:48:00Z</dcterms:modified>
</cp:coreProperties>
</file>