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EB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F537EB" w:rsidRPr="00560E67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CC10AF">
        <w:rPr>
          <w:rFonts w:ascii="Arial" w:eastAsiaTheme="minorHAnsi" w:hAnsi="Arial"/>
          <w:b/>
          <w:sz w:val="24"/>
          <w:szCs w:val="22"/>
          <w:lang w:val="id-ID"/>
        </w:rPr>
        <w:t>2020</w:t>
      </w:r>
    </w:p>
    <w:p w:rsidR="00F537EB" w:rsidRPr="00560E67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PENGEMUDI VIP</w:t>
      </w:r>
    </w:p>
    <w:p w:rsidR="00F537EB" w:rsidRPr="00560E67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F537EB" w:rsidRPr="00560E67" w:rsidRDefault="00F537EB" w:rsidP="00F537E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F537EB" w:rsidRPr="00560E67" w:rsidRDefault="00F537EB" w:rsidP="00002E6F">
      <w:pPr>
        <w:spacing w:after="0" w:line="240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F537EB" w:rsidRPr="00560E67" w:rsidRDefault="00F537EB" w:rsidP="00F537E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CC10AF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6955A4" w:rsidRPr="006955A4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1.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Mengantarkan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pada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tujuan</w:t>
      </w:r>
      <w:proofErr w:type="spellEnd"/>
    </w:p>
    <w:p w:rsidR="00005FD8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2.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Melakukan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Service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Kendaraan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</w:p>
    <w:p w:rsidR="00F537EB" w:rsidRPr="00560E67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3.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Mencuci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Mobil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CC10AF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F537EB" w:rsidRPr="00560E67" w:rsidTr="005C1302">
        <w:trPr>
          <w:tblHeader/>
        </w:trPr>
        <w:tc>
          <w:tcPr>
            <w:tcW w:w="69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F537EB" w:rsidRPr="00560E67" w:rsidTr="005C1302">
        <w:tc>
          <w:tcPr>
            <w:tcW w:w="693" w:type="dxa"/>
            <w:vMerge w:val="restart"/>
          </w:tcPr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:rsidR="00F537EB" w:rsidRPr="00560E67" w:rsidRDefault="006955A4" w:rsidP="005C1302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6955A4">
              <w:rPr>
                <w:rFonts w:ascii="Arial" w:hAnsi="Arial"/>
                <w:sz w:val="24"/>
                <w:szCs w:val="24"/>
              </w:rPr>
              <w:t xml:space="preserve">Pelayanan mobilitas pimpinan </w:t>
            </w:r>
          </w:p>
        </w:tc>
        <w:tc>
          <w:tcPr>
            <w:tcW w:w="3402" w:type="dxa"/>
          </w:tcPr>
          <w:p w:rsidR="00F537EB" w:rsidRPr="00E073E3" w:rsidRDefault="006955A4" w:rsidP="006955A4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mengantarka</w:t>
            </w:r>
            <w:r>
              <w:rPr>
                <w:rFonts w:ascii="Arial" w:hAnsi="Arial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 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pada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tempat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tujuan</w:t>
            </w:r>
            <w:proofErr w:type="spellEnd"/>
          </w:p>
        </w:tc>
        <w:tc>
          <w:tcPr>
            <w:tcW w:w="1861" w:type="dxa"/>
            <w:vAlign w:val="center"/>
          </w:tcPr>
          <w:p w:rsidR="00F537EB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  <w:tr w:rsidR="00F537EB" w:rsidRPr="00560E67" w:rsidTr="005C1302">
        <w:tc>
          <w:tcPr>
            <w:tcW w:w="693" w:type="dxa"/>
            <w:vMerge/>
          </w:tcPr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F537EB" w:rsidRPr="00560E67" w:rsidRDefault="00F537EB" w:rsidP="005C1302">
            <w:pPr>
              <w:spacing w:before="60" w:after="60" w:line="259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537EB" w:rsidRPr="00E073E3" w:rsidRDefault="006955A4" w:rsidP="006955A4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service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861" w:type="dxa"/>
            <w:vAlign w:val="center"/>
          </w:tcPr>
          <w:p w:rsidR="00F537EB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</w:tr>
      <w:tr w:rsidR="006955A4" w:rsidRPr="00560E67" w:rsidTr="005C1302">
        <w:tc>
          <w:tcPr>
            <w:tcW w:w="693" w:type="dxa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6955A4" w:rsidRPr="00560E67" w:rsidRDefault="006955A4" w:rsidP="005C1302">
            <w:pPr>
              <w:spacing w:before="60" w:after="60" w:line="259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6955A4" w:rsidRPr="00560E67" w:rsidRDefault="006955A4" w:rsidP="005C1302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861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333"/>
        <w:gridCol w:w="2155"/>
        <w:gridCol w:w="1272"/>
        <w:gridCol w:w="1272"/>
        <w:gridCol w:w="1273"/>
      </w:tblGrid>
      <w:tr w:rsidR="00F537EB" w:rsidRPr="00560E67" w:rsidTr="00F537EB">
        <w:tc>
          <w:tcPr>
            <w:tcW w:w="599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33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155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6955A4" w:rsidRPr="00560E67" w:rsidTr="00F537EB">
        <w:tc>
          <w:tcPr>
            <w:tcW w:w="599" w:type="dxa"/>
            <w:vMerge w:val="restart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  <w:vMerge w:val="restart"/>
          </w:tcPr>
          <w:p w:rsidR="006955A4" w:rsidRPr="00560E67" w:rsidRDefault="006955A4" w:rsidP="005C1302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2155" w:type="dxa"/>
          </w:tcPr>
          <w:p w:rsidR="006955A4" w:rsidRPr="00E073E3" w:rsidRDefault="006955A4" w:rsidP="00F537EB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mengantarkan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pada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tempat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tujuan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6955A4" w:rsidRPr="00560E67" w:rsidTr="00F537EB">
        <w:tc>
          <w:tcPr>
            <w:tcW w:w="599" w:type="dxa"/>
            <w:vMerge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1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:rsidR="006955A4" w:rsidRPr="00560E67" w:rsidRDefault="006955A4" w:rsidP="005C1302">
            <w:pPr>
              <w:spacing w:after="160"/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6955A4" w:rsidRPr="00E073E3" w:rsidRDefault="006955A4" w:rsidP="005C1302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service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6955A4" w:rsidRPr="00560E67" w:rsidTr="00F537EB">
        <w:tc>
          <w:tcPr>
            <w:tcW w:w="599" w:type="dxa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1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</w:tcPr>
          <w:p w:rsidR="006955A4" w:rsidRPr="00560E67" w:rsidRDefault="006955A4" w:rsidP="005C1302">
            <w:pPr>
              <w:spacing w:after="160"/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6955A4" w:rsidRPr="00560E67" w:rsidRDefault="006955A4" w:rsidP="005C1302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  <w:r w:rsidRPr="006955A4">
              <w:rPr>
                <w:rFonts w:ascii="Arial" w:hAnsi="Arial"/>
                <w:sz w:val="24"/>
                <w:szCs w:val="24"/>
              </w:rPr>
              <w:t>Jumlah kegiatan mencuci mobil</w:t>
            </w:r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F537EB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6955A4" w:rsidRPr="006955A4" w:rsidRDefault="006955A4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6955A4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mengantarkan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 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pada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tujuan</w:t>
      </w:r>
      <w:proofErr w:type="spellEnd"/>
    </w:p>
    <w:p w:rsidR="00005FD8" w:rsidRDefault="00005FD8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Jumlah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service </w:t>
      </w:r>
      <w:proofErr w:type="spellStart"/>
      <w:r>
        <w:rPr>
          <w:rFonts w:ascii="Arial" w:eastAsiaTheme="minorHAnsi" w:hAnsi="Arial"/>
          <w:sz w:val="24"/>
          <w:szCs w:val="24"/>
        </w:rPr>
        <w:t>mobil</w:t>
      </w:r>
      <w:proofErr w:type="spellEnd"/>
      <w:r w:rsidR="006955A4" w:rsidRPr="00005FD8">
        <w:rPr>
          <w:rFonts w:ascii="Arial" w:eastAsiaTheme="minorHAnsi" w:hAnsi="Arial"/>
          <w:sz w:val="24"/>
          <w:szCs w:val="24"/>
        </w:rPr>
        <w:t xml:space="preserve"> </w:t>
      </w:r>
    </w:p>
    <w:p w:rsidR="006955A4" w:rsidRPr="00005FD8" w:rsidRDefault="006955A4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005FD8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mencuci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mobil</w:t>
      </w:r>
      <w:proofErr w:type="spellEnd"/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color w:val="000000"/>
          <w:sz w:val="24"/>
          <w:szCs w:val="24"/>
          <w:shd w:val="clear" w:color="auto" w:fill="FFFFFF"/>
        </w:rPr>
        <w:t>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F537EB" w:rsidRPr="00560E67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F537EB" w:rsidRPr="00560E67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F537EB" w:rsidRPr="00002E6F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F537EB" w:rsidRPr="005C1302" w:rsidRDefault="00F537EB" w:rsidP="00F537EB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5C1302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</w:t>
      </w:r>
    </w:p>
    <w:p w:rsidR="00F537EB" w:rsidRPr="00560E67" w:rsidRDefault="00F537EB" w:rsidP="00F537EB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</w:t>
      </w:r>
    </w:p>
    <w:p w:rsidR="00F537EB" w:rsidRPr="00560E67" w:rsidRDefault="00F537EB" w:rsidP="00002E6F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F537EB" w:rsidRPr="00560E67" w:rsidTr="00CC10AF">
        <w:trPr>
          <w:trHeight w:val="2976"/>
        </w:trPr>
        <w:tc>
          <w:tcPr>
            <w:tcW w:w="4644" w:type="dxa"/>
          </w:tcPr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RUMAH TANGGA</w:t>
            </w:r>
          </w:p>
          <w:p w:rsid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C10AF" w:rsidRDefault="00CC10AF" w:rsidP="00002E6F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C10AF" w:rsidRDefault="00CC10AF" w:rsidP="00002E6F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Penata Tingkat I</w:t>
            </w:r>
          </w:p>
          <w:p w:rsidR="00F537EB" w:rsidRPr="00560E67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F537EB" w:rsidRPr="00560E67" w:rsidRDefault="00F537EB" w:rsidP="005C1302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537EB" w:rsidRPr="00002E6F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002E6F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002E6F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  <w:r w:rsidR="00CC10AF">
              <w:rPr>
                <w:rFonts w:ascii="Arial" w:eastAsiaTheme="minorHAnsi" w:hAnsi="Arial"/>
                <w:sz w:val="24"/>
                <w:szCs w:val="24"/>
              </w:rPr>
              <w:t xml:space="preserve">28 </w:t>
            </w:r>
            <w:proofErr w:type="spellStart"/>
            <w:r w:rsidR="00CC10AF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CC10AF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  <w:r w:rsidR="00002E6F">
              <w:rPr>
                <w:rFonts w:ascii="Arial" w:eastAsiaTheme="minorHAnsi" w:hAnsi="Arial"/>
                <w:sz w:val="24"/>
                <w:szCs w:val="24"/>
              </w:rPr>
              <w:t>2020</w:t>
            </w:r>
          </w:p>
          <w:p w:rsidR="00002E6F" w:rsidRDefault="00002E6F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560E67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 </w:instrText>
            </w:r>
            <w:r w:rsidR="00CC10AF"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="001F6D77" w:rsidRPr="006C4A3F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Pengemudi VIP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  <w:bookmarkStart w:id="0" w:name="_GoBack"/>
            <w:bookmarkEnd w:id="0"/>
          </w:p>
          <w:p w:rsidR="00F537EB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002E6F" w:rsidRPr="00560E67" w:rsidRDefault="00002E6F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C10AF" w:rsidRPr="00560E67" w:rsidRDefault="00CC10AF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CC10AF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="001F6D77" w:rsidRPr="006C4A3F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KUSNADI</w: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 w:rsidR="001F6D77">
              <w:rPr>
                <w:rFonts w:ascii="Arial" w:eastAsiaTheme="minorHAnsi" w:hAnsi="Arial"/>
                <w:sz w:val="24"/>
                <w:szCs w:val="24"/>
              </w:rPr>
              <w:fldChar w:fldCharType="separate"/>
            </w:r>
            <w:r w:rsidR="001F6D77" w:rsidRPr="006C4A3F">
              <w:rPr>
                <w:rFonts w:ascii="Arial" w:eastAsiaTheme="minorHAnsi" w:hAnsi="Arial"/>
                <w:noProof/>
                <w:sz w:val="24"/>
                <w:szCs w:val="24"/>
              </w:rPr>
              <w:t>Pengatur Muda Tingkat I</w: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F537EB" w:rsidRPr="00560E67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instrText xml:space="preserve"> MERGEFIELD NIP </w:instrText>
            </w:r>
            <w:r w:rsidR="001F6D77"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separate"/>
            </w:r>
            <w:r w:rsidR="001F6D77" w:rsidRPr="006C4A3F">
              <w:rPr>
                <w:rFonts w:ascii="Arial" w:eastAsiaTheme="minorHAnsi" w:hAnsi="Arial"/>
                <w:noProof/>
                <w:sz w:val="24"/>
                <w:szCs w:val="24"/>
                <w:lang w:val="id-ID"/>
              </w:rPr>
              <w:t>NIP. 19740502 200701 1 019</w: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end"/>
            </w:r>
          </w:p>
        </w:tc>
      </w:tr>
    </w:tbl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8F19CC" w:rsidRDefault="008F19CC"/>
    <w:sectPr w:rsidR="008F19CC" w:rsidSect="005C1302">
      <w:pgSz w:w="12191" w:h="18711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2127AD"/>
    <w:multiLevelType w:val="hybridMultilevel"/>
    <w:tmpl w:val="AEA454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53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A0"/>
    <w:rsid w:val="00002E6F"/>
    <w:rsid w:val="00005FD8"/>
    <w:rsid w:val="001F6D77"/>
    <w:rsid w:val="00584DA0"/>
    <w:rsid w:val="005C1302"/>
    <w:rsid w:val="006422F4"/>
    <w:rsid w:val="006955A4"/>
    <w:rsid w:val="008F19CC"/>
    <w:rsid w:val="00C1142A"/>
    <w:rsid w:val="00CC10AF"/>
    <w:rsid w:val="00F5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E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37E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E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37E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2021-01-05T07:28:00Z</cp:lastPrinted>
  <dcterms:created xsi:type="dcterms:W3CDTF">2021-01-05T07:28:00Z</dcterms:created>
  <dcterms:modified xsi:type="dcterms:W3CDTF">2021-01-05T07:28:00Z</dcterms:modified>
</cp:coreProperties>
</file>