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28" w:rsidRPr="000A1999" w:rsidRDefault="009D1E36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0A1999">
        <w:rPr>
          <w:rFonts w:ascii="Arial" w:eastAsia="Calibri" w:hAnsi="Arial" w:cs="Arial"/>
          <w:b/>
          <w:sz w:val="24"/>
        </w:rPr>
        <w:t>20</w:t>
      </w:r>
    </w:p>
    <w:p w:rsidR="00363EE3" w:rsidRDefault="00363EE3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EB2DF9">
        <w:rPr>
          <w:rFonts w:ascii="Arial" w:eastAsia="Calibri" w:hAnsi="Arial" w:cs="Arial"/>
          <w:b/>
          <w:sz w:val="24"/>
        </w:rPr>
        <w:t>PENYUSUN RENCANA KEBUTUHAN R</w:t>
      </w:r>
      <w:r>
        <w:rPr>
          <w:rFonts w:ascii="Arial" w:eastAsia="Calibri" w:hAnsi="Arial" w:cs="Arial"/>
          <w:b/>
          <w:sz w:val="24"/>
        </w:rPr>
        <w:t>UMAH TANGGA DAN PERLENGKAPAN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Kebutuhan Rumah Tangga Dan Perlengkapan</w:t>
      </w:r>
      <w:r w:rsidR="00363E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Kebutuhan Rumah Tangga Dan Perlengkapan</w:t>
      </w:r>
      <w:proofErr w:type="spellStart"/>
      <w:r w:rsidR="005639A9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639A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8D0084">
        <w:rPr>
          <w:rFonts w:ascii="Arial" w:eastAsia="Calibri" w:hAnsi="Arial" w:cs="Arial"/>
          <w:sz w:val="24"/>
          <w:szCs w:val="24"/>
          <w:lang w:val="id-ID"/>
        </w:rPr>
        <w:t>,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pengadan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jasa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>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0A1999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Kebutuhan Rumah Tangga Dan Perlengkapan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Kebutuhan Rumah Tangga Dan Perlengkapan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A7628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</w:t>
      </w:r>
      <w:proofErr w:type="spellStart"/>
      <w:r w:rsidR="002E4421">
        <w:rPr>
          <w:rFonts w:ascii="Arial" w:eastAsia="Calibri" w:hAnsi="Arial" w:cs="Arial"/>
          <w:sz w:val="24"/>
          <w:szCs w:val="24"/>
        </w:rPr>
        <w:t>giatan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r w:rsidR="00856F95">
        <w:rPr>
          <w:rFonts w:ascii="Arial" w:eastAsia="Calibri" w:hAnsi="Arial" w:cs="Arial"/>
          <w:sz w:val="24"/>
          <w:szCs w:val="24"/>
          <w:lang w:val="id-ID"/>
        </w:rPr>
        <w:t xml:space="preserve"> Rumah Tangga Dan Perlengkapan</w:t>
      </w:r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7559E3" w:rsidRDefault="002E4421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Menyiapkan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penyusunan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rencana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kegiatan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pada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="007559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559E3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="007559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559E3">
        <w:rPr>
          <w:rFonts w:ascii="Arial" w:eastAsia="Calibri" w:hAnsi="Arial" w:cs="Arial"/>
          <w:sz w:val="24"/>
          <w:szCs w:val="24"/>
        </w:rPr>
        <w:t>Renstra</w:t>
      </w:r>
      <w:proofErr w:type="spellEnd"/>
    </w:p>
    <w:p w:rsidR="005A7628" w:rsidRPr="005A7628" w:rsidRDefault="007559E3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</w:t>
      </w:r>
      <w:r w:rsidR="002E4421">
        <w:rPr>
          <w:rFonts w:ascii="Arial" w:eastAsia="Calibri" w:hAnsi="Arial" w:cs="Arial"/>
          <w:sz w:val="24"/>
          <w:szCs w:val="24"/>
        </w:rPr>
        <w:t>enyusun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E4421">
        <w:rPr>
          <w:rFonts w:ascii="Arial" w:eastAsia="Calibri" w:hAnsi="Arial" w:cs="Arial"/>
          <w:sz w:val="24"/>
          <w:szCs w:val="24"/>
        </w:rPr>
        <w:t>rencana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kebutuhan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E4421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E4421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2E442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E4421">
        <w:rPr>
          <w:rFonts w:ascii="Arial" w:eastAsia="Calibri" w:hAnsi="Arial" w:cs="Arial"/>
          <w:sz w:val="24"/>
          <w:szCs w:val="24"/>
        </w:rPr>
        <w:t>Umum</w:t>
      </w:r>
      <w:proofErr w:type="spellEnd"/>
    </w:p>
    <w:p w:rsid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Melaporkan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kepada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atasan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prosedur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ketentuan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evaluasi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pertanggungjawaban</w:t>
      </w:r>
      <w:proofErr w:type="spellEnd"/>
    </w:p>
    <w:p w:rsidR="005A7628" w:rsidRPr="005A7628" w:rsidRDefault="005A7628" w:rsidP="005A7628">
      <w:pPr>
        <w:pStyle w:val="ListParagraph"/>
        <w:tabs>
          <w:tab w:val="left" w:pos="-142"/>
        </w:tabs>
        <w:spacing w:before="120" w:after="0" w:line="24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0A1999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64"/>
        <w:gridCol w:w="2268"/>
        <w:gridCol w:w="4111"/>
        <w:gridCol w:w="1861"/>
      </w:tblGrid>
      <w:tr w:rsidR="005A7628" w:rsidRPr="005961CF" w:rsidTr="007559E3">
        <w:trPr>
          <w:tblHeader/>
        </w:trPr>
        <w:tc>
          <w:tcPr>
            <w:tcW w:w="664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4111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5A7628" w:rsidRPr="005961CF" w:rsidTr="007559E3">
        <w:tc>
          <w:tcPr>
            <w:tcW w:w="664" w:type="dxa"/>
          </w:tcPr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7628" w:rsidRPr="007559E3" w:rsidRDefault="007559E3" w:rsidP="005639A9">
            <w:pPr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aset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milik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daerah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4111" w:type="dxa"/>
          </w:tcPr>
          <w:p w:rsidR="005639A9" w:rsidRPr="007559E3" w:rsidRDefault="007559E3" w:rsidP="007559E3">
            <w:pPr>
              <w:pStyle w:val="ListParagraph"/>
              <w:numPr>
                <w:ilvl w:val="0"/>
                <w:numId w:val="9"/>
              </w:numPr>
              <w:spacing w:line="240" w:lineRule="exact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kebutuhan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5A7628" w:rsidRPr="005639A9" w:rsidRDefault="005639A9" w:rsidP="007559E3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laporan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aset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milik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daerah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Bagian</w:t>
            </w:r>
            <w:proofErr w:type="spellEnd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59E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Umum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1" w:type="dxa"/>
          </w:tcPr>
          <w:p w:rsidR="005639A9" w:rsidRDefault="007559E3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7559E3" w:rsidRDefault="007559E3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5639A9" w:rsidRPr="005961CF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</w:tbl>
    <w:p w:rsidR="007559E3" w:rsidRPr="007559E3" w:rsidRDefault="007559E3" w:rsidP="007559E3">
      <w:p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A7628" w:rsidRPr="005961CF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5A7628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eGrid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1"/>
        <w:gridCol w:w="1560"/>
        <w:gridCol w:w="1701"/>
        <w:gridCol w:w="1275"/>
      </w:tblGrid>
      <w:tr w:rsidR="00EB2DF9" w:rsidRPr="005961CF" w:rsidTr="00EB2DF9">
        <w:trPr>
          <w:tblHeader/>
        </w:trPr>
        <w:tc>
          <w:tcPr>
            <w:tcW w:w="567" w:type="dxa"/>
          </w:tcPr>
          <w:p w:rsidR="00EB2DF9" w:rsidRPr="005961CF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843" w:type="dxa"/>
          </w:tcPr>
          <w:p w:rsidR="00EB2DF9" w:rsidRPr="005961CF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EB2DF9" w:rsidRPr="005961CF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560" w:type="dxa"/>
          </w:tcPr>
          <w:p w:rsidR="00EB2DF9" w:rsidRPr="005961CF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701" w:type="dxa"/>
          </w:tcPr>
          <w:p w:rsidR="00EB2DF9" w:rsidRPr="00EB2DF9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275" w:type="dxa"/>
          </w:tcPr>
          <w:p w:rsidR="00EB2DF9" w:rsidRPr="00EB2DF9" w:rsidRDefault="00EB2DF9" w:rsidP="00074A37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EB2DF9" w:rsidRPr="005961CF" w:rsidTr="00EB2DF9">
        <w:trPr>
          <w:trHeight w:val="1816"/>
        </w:trPr>
        <w:tc>
          <w:tcPr>
            <w:tcW w:w="567" w:type="dxa"/>
          </w:tcPr>
          <w:p w:rsidR="00EB2DF9" w:rsidRPr="005961CF" w:rsidRDefault="00EB2DF9" w:rsidP="00074A3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EB2DF9" w:rsidRPr="005961CF" w:rsidRDefault="00EB2DF9" w:rsidP="00074A3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2DF9" w:rsidRPr="007559E3" w:rsidRDefault="00EB2DF9" w:rsidP="00074A37">
            <w:pPr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aset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milik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daerah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2551" w:type="dxa"/>
          </w:tcPr>
          <w:p w:rsidR="00EB2DF9" w:rsidRPr="007559E3" w:rsidRDefault="00EB2DF9" w:rsidP="00074A37">
            <w:pPr>
              <w:pStyle w:val="ListParagraph"/>
              <w:numPr>
                <w:ilvl w:val="0"/>
                <w:numId w:val="9"/>
              </w:numPr>
              <w:spacing w:line="240" w:lineRule="exact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usulan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kebutuhan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EB2DF9" w:rsidRPr="005639A9" w:rsidRDefault="00EB2DF9" w:rsidP="00074A37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laporan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aset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milik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daerah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Umum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EB2DF9" w:rsidRPr="005961CF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B2DF9" w:rsidRDefault="00EB2DF9" w:rsidP="00EB2DF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EB2DF9" w:rsidRDefault="00EB2DF9" w:rsidP="00EB2DF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B2DF9" w:rsidRDefault="00EB2DF9" w:rsidP="00EB2DF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  <w:p w:rsid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B2DF9" w:rsidRPr="00EB2DF9" w:rsidRDefault="00EB2DF9" w:rsidP="00074A37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7559E3" w:rsidRPr="007559E3" w:rsidRDefault="007559E3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639A9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aset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milik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EB2DF9" w:rsidRP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 w:rsidRPr="00EB2DF9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EB2DF9" w:rsidRDefault="00EB2DF9" w:rsidP="00EB2DF9">
      <w:pPr>
        <w:pStyle w:val="ListParagraph"/>
        <w:numPr>
          <w:ilvl w:val="0"/>
          <w:numId w:val="8"/>
        </w:numPr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dokumen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usulan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rencana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kebutuhan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barang</w:t>
      </w:r>
      <w:proofErr w:type="spellEnd"/>
    </w:p>
    <w:p w:rsidR="00EB2DF9" w:rsidRPr="00EB2DF9" w:rsidRDefault="00EB2DF9" w:rsidP="00EB2DF9">
      <w:pPr>
        <w:pStyle w:val="ListParagraph"/>
        <w:numPr>
          <w:ilvl w:val="0"/>
          <w:numId w:val="8"/>
        </w:numPr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laporan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barang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aset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milik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daerah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Bagian</w:t>
      </w:r>
      <w:proofErr w:type="spellEnd"/>
      <w:r w:rsidRPr="00EB2DF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B2DF9">
        <w:rPr>
          <w:rFonts w:ascii="Arial" w:eastAsia="Calibri" w:hAnsi="Arial" w:cs="Arial"/>
          <w:color w:val="000000"/>
          <w:sz w:val="24"/>
          <w:szCs w:val="24"/>
        </w:rPr>
        <w:t>Umum</w:t>
      </w:r>
      <w:proofErr w:type="spellEnd"/>
    </w:p>
    <w:p w:rsidR="005A7628" w:rsidRPr="005961CF" w:rsidRDefault="00EB2DF9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EB2DF9">
        <w:rPr>
          <w:rFonts w:ascii="Arial" w:eastAsia="Calibri" w:hAnsi="Arial" w:cs="Arial"/>
          <w:color w:val="000000"/>
          <w:sz w:val="24"/>
          <w:szCs w:val="24"/>
        </w:rPr>
        <w:tab/>
      </w:r>
      <w:r w:rsidR="005A7628"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5639A9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="005639A9" w:rsidRPr="005639A9">
        <w:rPr>
          <w:rFonts w:ascii="Arial" w:eastAsia="Calibri" w:hAnsi="Arial" w:cs="Arial"/>
          <w:sz w:val="24"/>
          <w:szCs w:val="24"/>
          <w:lang w:val="id-ID"/>
        </w:rPr>
        <w:t>p</w:t>
      </w:r>
      <w:proofErr w:type="spellStart"/>
      <w:r w:rsidR="00EB2DF9">
        <w:rPr>
          <w:rFonts w:ascii="Arial" w:eastAsia="Calibri" w:hAnsi="Arial" w:cs="Arial"/>
          <w:sz w:val="24"/>
          <w:szCs w:val="24"/>
        </w:rPr>
        <w:t>enyusunan</w:t>
      </w:r>
      <w:proofErr w:type="spellEnd"/>
      <w:r w:rsid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>
        <w:rPr>
          <w:rFonts w:ascii="Arial" w:eastAsia="Calibri" w:hAnsi="Arial" w:cs="Arial"/>
          <w:sz w:val="24"/>
          <w:szCs w:val="24"/>
        </w:rPr>
        <w:t>kebutuhan</w:t>
      </w:r>
      <w:proofErr w:type="spellEnd"/>
      <w:r w:rsidR="00EB2DF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B2DF9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  <w:lang w:val="id-ID"/>
        </w:rPr>
        <w:t xml:space="preserve"> yang sesuai prosedur </w:t>
      </w:r>
    </w:p>
    <w:p w:rsidR="00020D96" w:rsidRDefault="00020D96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EB2DF9" w:rsidRDefault="005A7628" w:rsidP="00EB2DF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 w:rsidR="00EB2DF9">
        <w:rPr>
          <w:rFonts w:ascii="Calibri" w:eastAsia="Calibri" w:hAnsi="Calibri" w:cs="Times New Roman"/>
          <w:b/>
          <w:lang w:val="id-ID"/>
        </w:rPr>
        <w:t>.....................</w:t>
      </w:r>
    </w:p>
    <w:p w:rsidR="00363EE3" w:rsidRPr="00EB2DF9" w:rsidRDefault="00363EE3" w:rsidP="00363E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</w:t>
      </w:r>
    </w:p>
    <w:p w:rsidR="00363EE3" w:rsidRPr="00363EE3" w:rsidRDefault="00363EE3" w:rsidP="00EB2DF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 w:rsidR="00856F95">
        <w:rPr>
          <w:rFonts w:ascii="Arial" w:eastAsia="Calibri" w:hAnsi="Arial" w:cs="Arial"/>
          <w:sz w:val="24"/>
          <w:szCs w:val="24"/>
          <w:lang w:val="id-ID"/>
        </w:rPr>
        <w:t>Penyusun Rencana Kebutuhan Rumah Tangga Dan Perlengkapan</w:t>
      </w:r>
      <w:r w:rsidR="00EB2DF9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tbl>
      <w:tblPr>
        <w:tblpPr w:leftFromText="180" w:rightFromText="180" w:vertAnchor="text" w:horzAnchor="page" w:tblpX="1963" w:tblpY="188"/>
        <w:tblW w:w="9322" w:type="dxa"/>
        <w:tblLayout w:type="fixed"/>
        <w:tblLook w:val="04A0" w:firstRow="1" w:lastRow="0" w:firstColumn="1" w:lastColumn="0" w:noHBand="0" w:noVBand="1"/>
      </w:tblPr>
      <w:tblGrid>
        <w:gridCol w:w="4361"/>
        <w:gridCol w:w="283"/>
        <w:gridCol w:w="4678"/>
      </w:tblGrid>
      <w:tr w:rsidR="00363EE3" w:rsidRPr="005961CF" w:rsidTr="00363EE3">
        <w:trPr>
          <w:trHeight w:val="3389"/>
        </w:trPr>
        <w:tc>
          <w:tcPr>
            <w:tcW w:w="4361" w:type="dxa"/>
          </w:tcPr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63EE3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63EE3" w:rsidRPr="002C4841" w:rsidRDefault="00363EE3" w:rsidP="00363E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3" w:type="dxa"/>
          </w:tcPr>
          <w:p w:rsidR="00363EE3" w:rsidRPr="005961CF" w:rsidRDefault="00363EE3" w:rsidP="00363EE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678" w:type="dxa"/>
          </w:tcPr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PENYUSUN RENCANA KEBUTUHAN RUMAH TANGGA DAN PERLENGKAPAN</w:t>
            </w: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363EE3" w:rsidRDefault="00363EE3" w:rsidP="00363E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63EE3" w:rsidRPr="005961CF" w:rsidRDefault="00363EE3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63EE3" w:rsidRPr="009F66C8" w:rsidRDefault="009F66C8" w:rsidP="00363E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bookmarkStart w:id="0" w:name="_GoBack"/>
            <w:r w:rsidRPr="009F66C8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ARIS NUR HUDA</w:t>
            </w:r>
            <w:bookmarkEnd w:id="0"/>
          </w:p>
        </w:tc>
      </w:tr>
    </w:tbl>
    <w:p w:rsidR="008F19CC" w:rsidRDefault="008F19CC"/>
    <w:sectPr w:rsidR="008F19CC" w:rsidSect="00EB2DF9">
      <w:pgSz w:w="12191" w:h="18711" w:code="1000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AF9"/>
    <w:multiLevelType w:val="hybridMultilevel"/>
    <w:tmpl w:val="ACEE96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011" w:hanging="360"/>
      </w:pPr>
    </w:lvl>
    <w:lvl w:ilvl="2">
      <w:start w:val="1"/>
      <w:numFmt w:val="lowerRoman"/>
      <w:lvlText w:val="%3."/>
      <w:lvlJc w:val="right"/>
      <w:pPr>
        <w:ind w:left="10731" w:hanging="180"/>
      </w:pPr>
    </w:lvl>
    <w:lvl w:ilvl="3">
      <w:start w:val="1"/>
      <w:numFmt w:val="decimal"/>
      <w:lvlText w:val="%4."/>
      <w:lvlJc w:val="left"/>
      <w:pPr>
        <w:ind w:left="11451" w:hanging="360"/>
      </w:pPr>
    </w:lvl>
    <w:lvl w:ilvl="4">
      <w:start w:val="1"/>
      <w:numFmt w:val="lowerLetter"/>
      <w:lvlText w:val="%5."/>
      <w:lvlJc w:val="left"/>
      <w:pPr>
        <w:ind w:left="12171" w:hanging="360"/>
      </w:pPr>
    </w:lvl>
    <w:lvl w:ilvl="5">
      <w:start w:val="1"/>
      <w:numFmt w:val="lowerRoman"/>
      <w:lvlText w:val="%6."/>
      <w:lvlJc w:val="right"/>
      <w:pPr>
        <w:ind w:left="12891" w:hanging="180"/>
      </w:pPr>
    </w:lvl>
    <w:lvl w:ilvl="6">
      <w:start w:val="1"/>
      <w:numFmt w:val="decimal"/>
      <w:lvlText w:val="%7."/>
      <w:lvlJc w:val="left"/>
      <w:pPr>
        <w:ind w:left="13611" w:hanging="360"/>
      </w:pPr>
    </w:lvl>
    <w:lvl w:ilvl="7">
      <w:start w:val="1"/>
      <w:numFmt w:val="lowerLetter"/>
      <w:lvlText w:val="%8."/>
      <w:lvlJc w:val="left"/>
      <w:pPr>
        <w:ind w:left="14331" w:hanging="360"/>
      </w:pPr>
    </w:lvl>
    <w:lvl w:ilvl="8">
      <w:start w:val="1"/>
      <w:numFmt w:val="lowerRoman"/>
      <w:lvlText w:val="%9."/>
      <w:lvlJc w:val="right"/>
      <w:pPr>
        <w:ind w:left="15051" w:hanging="180"/>
      </w:pPr>
    </w:lvl>
  </w:abstractNum>
  <w:abstractNum w:abstractNumId="2">
    <w:nsid w:val="25F26369"/>
    <w:multiLevelType w:val="hybridMultilevel"/>
    <w:tmpl w:val="E47E544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C7025"/>
    <w:multiLevelType w:val="hybridMultilevel"/>
    <w:tmpl w:val="11A2DF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6979D2"/>
    <w:multiLevelType w:val="hybridMultilevel"/>
    <w:tmpl w:val="5D1A4C70"/>
    <w:lvl w:ilvl="0" w:tplc="1C30A7CA">
      <w:start w:val="1"/>
      <w:numFmt w:val="bullet"/>
      <w:lvlText w:val="-"/>
      <w:lvlJc w:val="left"/>
      <w:pPr>
        <w:ind w:left="25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21"/>
    <w:rsid w:val="00020D96"/>
    <w:rsid w:val="000A1999"/>
    <w:rsid w:val="000F6E24"/>
    <w:rsid w:val="002E4421"/>
    <w:rsid w:val="00354028"/>
    <w:rsid w:val="00363EE3"/>
    <w:rsid w:val="0055287D"/>
    <w:rsid w:val="005639A9"/>
    <w:rsid w:val="005A7628"/>
    <w:rsid w:val="006422F4"/>
    <w:rsid w:val="00745F23"/>
    <w:rsid w:val="007559E3"/>
    <w:rsid w:val="00856F95"/>
    <w:rsid w:val="008C27BA"/>
    <w:rsid w:val="008D0084"/>
    <w:rsid w:val="008F19CC"/>
    <w:rsid w:val="009D1E36"/>
    <w:rsid w:val="009F66C8"/>
    <w:rsid w:val="00C1142A"/>
    <w:rsid w:val="00D806E1"/>
    <w:rsid w:val="00EB2DF9"/>
    <w:rsid w:val="00F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2021-01-07T02:57:00Z</cp:lastPrinted>
  <dcterms:created xsi:type="dcterms:W3CDTF">2021-01-07T02:55:00Z</dcterms:created>
  <dcterms:modified xsi:type="dcterms:W3CDTF">2021-01-07T02:59:00Z</dcterms:modified>
</cp:coreProperties>
</file>